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FC4A" w14:textId="77777777" w:rsidR="0078090A" w:rsidRPr="0078090A" w:rsidRDefault="0078090A" w:rsidP="0078090A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8090A">
        <w:rPr>
          <w:rFonts w:ascii="Josefin Sans" w:eastAsia="Times New Roman" w:hAnsi="Josefin Sans" w:cs="Times New Roman"/>
          <w:color w:val="FFFFFF"/>
          <w:kern w:val="0"/>
          <w:sz w:val="12"/>
          <w:szCs w:val="12"/>
          <w14:ligatures w14:val="none"/>
        </w:rPr>
        <w:t>VITAL TALES TEMPLATE / EXAMPLES. ALL RIGHTS RESERVED.</w:t>
      </w:r>
    </w:p>
    <w:p w14:paraId="4AFDA96B" w14:textId="6C66D578" w:rsidR="003F70F5" w:rsidRDefault="001A2C03" w:rsidP="00113CAB">
      <w:pPr>
        <w:spacing w:after="480"/>
        <w:rPr>
          <w:rFonts w:ascii="Baskerville" w:eastAsia="Times New Roman" w:hAnsi="Baskerville" w:cs="Times New Roman"/>
          <w:color w:val="502C1E"/>
          <w:kern w:val="0"/>
          <w:sz w:val="72"/>
          <w:szCs w:val="72"/>
          <w14:ligatures w14:val="none"/>
        </w:rPr>
      </w:pPr>
      <w:r>
        <w:rPr>
          <w:rFonts w:ascii="Baskerville" w:eastAsia="Times New Roman" w:hAnsi="Baskerville" w:cs="Times New Roman"/>
          <w:color w:val="502C1E"/>
          <w:kern w:val="0"/>
          <w:sz w:val="72"/>
          <w:szCs w:val="72"/>
          <w14:ligatures w14:val="none"/>
        </w:rPr>
        <w:t>J</w:t>
      </w:r>
      <w:r w:rsidR="00C37908">
        <w:rPr>
          <w:rFonts w:ascii="Baskerville" w:eastAsia="Times New Roman" w:hAnsi="Baskerville" w:cs="Times New Roman"/>
          <w:color w:val="502C1E"/>
          <w:kern w:val="0"/>
          <w:sz w:val="72"/>
          <w:szCs w:val="72"/>
          <w14:ligatures w14:val="none"/>
        </w:rPr>
        <w:t>ANE DOE</w:t>
      </w:r>
      <w:r>
        <w:rPr>
          <w:rFonts w:ascii="Baskerville" w:eastAsia="Times New Roman" w:hAnsi="Baskerville" w:cs="Times New Roman"/>
          <w:color w:val="502C1E"/>
          <w:kern w:val="0"/>
          <w:sz w:val="72"/>
          <w:szCs w:val="72"/>
          <w14:ligatures w14:val="none"/>
        </w:rPr>
        <w:t xml:space="preserve">: </w:t>
      </w:r>
      <w:r w:rsidRPr="00C37908">
        <w:rPr>
          <w:rFonts w:ascii="Baskerville" w:eastAsia="Times New Roman" w:hAnsi="Baskerville" w:cs="Times New Roman"/>
          <w:color w:val="502C1E"/>
          <w:kern w:val="0"/>
          <w:sz w:val="72"/>
          <w:szCs w:val="72"/>
          <w14:ligatures w14:val="none"/>
        </w:rPr>
        <w:t xml:space="preserve">Segment </w:t>
      </w:r>
      <w:r w:rsidR="0001628D" w:rsidRPr="00C37908">
        <w:rPr>
          <w:rFonts w:ascii="Baskerville" w:eastAsia="Times New Roman" w:hAnsi="Baskerville" w:cs="Times New Roman"/>
          <w:color w:val="502C1E"/>
          <w:kern w:val="0"/>
          <w:sz w:val="72"/>
          <w:szCs w:val="72"/>
          <w14:ligatures w14:val="none"/>
        </w:rPr>
        <w:t>Profile</w:t>
      </w:r>
    </w:p>
    <w:p w14:paraId="768D64A0" w14:textId="62882407" w:rsidR="0032508A" w:rsidRDefault="0032508A" w:rsidP="0001628D">
      <w:pPr>
        <w:spacing w:after="360"/>
        <w:rPr>
          <w:rFonts w:ascii="Josefin Sans Light" w:eastAsia="Times New Roman" w:hAnsi="Josefin Sans Light" w:cs="Times New Roman"/>
          <w:color w:val="502C1E"/>
          <w:kern w:val="0"/>
          <w:sz w:val="22"/>
          <w:szCs w:val="22"/>
          <w14:ligatures w14:val="none"/>
        </w:rPr>
      </w:pPr>
      <w:r w:rsidRPr="0032508A">
        <w:rPr>
          <w:rFonts w:ascii="Josefin Sans Light" w:eastAsia="Times New Roman" w:hAnsi="Josefin Sans Light" w:cs="Times New Roman"/>
          <w:b/>
          <w:bCs/>
          <w:color w:val="502C1E"/>
          <w:kern w:val="0"/>
          <w:sz w:val="22"/>
          <w:szCs w:val="22"/>
          <w14:ligatures w14:val="none"/>
        </w:rPr>
        <w:t>How to use this template:</w:t>
      </w:r>
      <w:r w:rsidRPr="0032508A">
        <w:rPr>
          <w:rFonts w:ascii="Josefin Sans Light" w:eastAsia="Times New Roman" w:hAnsi="Josefin Sans Light" w:cs="Times New Roman"/>
          <w:color w:val="502C1E"/>
          <w:kern w:val="0"/>
          <w:sz w:val="22"/>
          <w:szCs w:val="22"/>
          <w14:ligatures w14:val="none"/>
        </w:rPr>
        <w:t xml:space="preserve"> </w:t>
      </w:r>
      <w:r>
        <w:rPr>
          <w:rFonts w:ascii="Josefin Sans Light" w:eastAsia="Times New Roman" w:hAnsi="Josefin Sans Light" w:cs="Times New Roman"/>
          <w:color w:val="502C1E"/>
          <w:kern w:val="0"/>
          <w:sz w:val="22"/>
          <w:szCs w:val="22"/>
          <w14:ligatures w14:val="none"/>
        </w:rPr>
        <w:t xml:space="preserve">In strategic planning for </w:t>
      </w:r>
      <w:r w:rsidR="008608AD">
        <w:rPr>
          <w:rFonts w:ascii="Josefin Sans Light" w:eastAsia="Times New Roman" w:hAnsi="Josefin Sans Light" w:cs="Times New Roman"/>
          <w:color w:val="502C1E"/>
          <w:kern w:val="0"/>
          <w:sz w:val="22"/>
          <w:szCs w:val="22"/>
          <w14:ligatures w14:val="none"/>
        </w:rPr>
        <w:t xml:space="preserve">a </w:t>
      </w:r>
      <w:r>
        <w:rPr>
          <w:rFonts w:ascii="Josefin Sans Light" w:eastAsia="Times New Roman" w:hAnsi="Josefin Sans Light" w:cs="Times New Roman"/>
          <w:color w:val="502C1E"/>
          <w:kern w:val="0"/>
          <w:sz w:val="22"/>
          <w:szCs w:val="22"/>
          <w14:ligatures w14:val="none"/>
        </w:rPr>
        <w:t>B2B2C health or wellness tool, program, or policy</w:t>
      </w:r>
      <w:r w:rsidR="001A2C03">
        <w:rPr>
          <w:rFonts w:ascii="Josefin Sans Light" w:eastAsia="Times New Roman" w:hAnsi="Josefin Sans Light" w:cs="Times New Roman"/>
          <w:color w:val="502C1E"/>
          <w:kern w:val="0"/>
          <w:sz w:val="22"/>
          <w:szCs w:val="22"/>
          <w14:ligatures w14:val="none"/>
        </w:rPr>
        <w:t xml:space="preserve"> rollout</w:t>
      </w:r>
      <w:r>
        <w:rPr>
          <w:rFonts w:ascii="Josefin Sans Light" w:eastAsia="Times New Roman" w:hAnsi="Josefin Sans Light" w:cs="Times New Roman"/>
          <w:color w:val="502C1E"/>
          <w:kern w:val="0"/>
          <w:sz w:val="22"/>
          <w:szCs w:val="22"/>
          <w14:ligatures w14:val="none"/>
        </w:rPr>
        <w:t xml:space="preserve">, start with a single </w:t>
      </w:r>
      <w:r w:rsidRPr="0032508A">
        <w:rPr>
          <w:rFonts w:ascii="Josefin Sans Light" w:eastAsia="Times New Roman" w:hAnsi="Josefin Sans Light" w:cs="Times New Roman"/>
          <w:color w:val="502C1E"/>
          <w:kern w:val="0"/>
          <w:sz w:val="22"/>
          <w:szCs w:val="22"/>
          <w14:ligatures w14:val="none"/>
        </w:rPr>
        <w:t>representative</w:t>
      </w:r>
      <w:r>
        <w:rPr>
          <w:rFonts w:ascii="Josefin Sans Light" w:eastAsia="Times New Roman" w:hAnsi="Josefin Sans Light" w:cs="Times New Roman"/>
          <w:color w:val="502C1E"/>
          <w:kern w:val="0"/>
          <w:sz w:val="22"/>
          <w:szCs w:val="22"/>
          <w14:ligatures w14:val="none"/>
        </w:rPr>
        <w:t xml:space="preserve"> segment</w:t>
      </w:r>
      <w:r w:rsidR="001A2C03">
        <w:rPr>
          <w:rFonts w:ascii="Josefin Sans Light" w:eastAsia="Times New Roman" w:hAnsi="Josefin Sans Light" w:cs="Times New Roman"/>
          <w:color w:val="502C1E"/>
          <w:kern w:val="0"/>
          <w:sz w:val="22"/>
          <w:szCs w:val="22"/>
          <w14:ligatures w14:val="none"/>
        </w:rPr>
        <w:t xml:space="preserve"> (Jane Doe for short)</w:t>
      </w:r>
      <w:r w:rsidR="008608AD">
        <w:rPr>
          <w:rFonts w:ascii="Josefin Sans Light" w:eastAsia="Times New Roman" w:hAnsi="Josefin Sans Light" w:cs="Times New Roman"/>
          <w:color w:val="502C1E"/>
          <w:kern w:val="0"/>
          <w:sz w:val="22"/>
          <w:szCs w:val="22"/>
          <w14:ligatures w14:val="none"/>
        </w:rPr>
        <w:t>. Use actual information where you have it and your theories for the rest. As you collect</w:t>
      </w:r>
      <w:r>
        <w:rPr>
          <w:rFonts w:ascii="Josefin Sans Light" w:eastAsia="Times New Roman" w:hAnsi="Josefin Sans Light" w:cs="Times New Roman"/>
          <w:color w:val="502C1E"/>
          <w:kern w:val="0"/>
          <w:sz w:val="22"/>
          <w:szCs w:val="22"/>
          <w14:ligatures w14:val="none"/>
        </w:rPr>
        <w:t xml:space="preserve"> actual user experience</w:t>
      </w:r>
      <w:r w:rsidR="001A2C03">
        <w:rPr>
          <w:rFonts w:ascii="Josefin Sans Light" w:eastAsia="Times New Roman" w:hAnsi="Josefin Sans Light" w:cs="Times New Roman"/>
          <w:color w:val="502C1E"/>
          <w:kern w:val="0"/>
          <w:sz w:val="22"/>
          <w:szCs w:val="22"/>
          <w14:ligatures w14:val="none"/>
        </w:rPr>
        <w:t xml:space="preserve"> and expand</w:t>
      </w:r>
      <w:r w:rsidR="008608AD">
        <w:rPr>
          <w:rFonts w:ascii="Josefin Sans Light" w:eastAsia="Times New Roman" w:hAnsi="Josefin Sans Light" w:cs="Times New Roman"/>
          <w:color w:val="502C1E"/>
          <w:kern w:val="0"/>
          <w:sz w:val="22"/>
          <w:szCs w:val="22"/>
          <w14:ligatures w14:val="none"/>
        </w:rPr>
        <w:t xml:space="preserve"> your client </w:t>
      </w:r>
      <w:r w:rsidR="001A2C03">
        <w:rPr>
          <w:rFonts w:ascii="Josefin Sans Light" w:eastAsia="Times New Roman" w:hAnsi="Josefin Sans Light" w:cs="Times New Roman"/>
          <w:color w:val="502C1E"/>
          <w:kern w:val="0"/>
          <w:sz w:val="22"/>
          <w:szCs w:val="22"/>
          <w14:ligatures w14:val="none"/>
        </w:rPr>
        <w:t>portfolio</w:t>
      </w:r>
      <w:r>
        <w:rPr>
          <w:rFonts w:ascii="Josefin Sans Light" w:eastAsia="Times New Roman" w:hAnsi="Josefin Sans Light" w:cs="Times New Roman"/>
          <w:color w:val="502C1E"/>
          <w:kern w:val="0"/>
          <w:sz w:val="22"/>
          <w:szCs w:val="22"/>
          <w14:ligatures w14:val="none"/>
        </w:rPr>
        <w:t xml:space="preserve">, </w:t>
      </w:r>
      <w:r w:rsidR="001A2C03">
        <w:rPr>
          <w:rFonts w:ascii="Josefin Sans Light" w:eastAsia="Times New Roman" w:hAnsi="Josefin Sans Light" w:cs="Times New Roman"/>
          <w:color w:val="502C1E"/>
          <w:kern w:val="0"/>
          <w:sz w:val="22"/>
          <w:szCs w:val="22"/>
          <w14:ligatures w14:val="none"/>
        </w:rPr>
        <w:t xml:space="preserve">you can refine your Jane Doe and </w:t>
      </w:r>
      <w:r>
        <w:rPr>
          <w:rFonts w:ascii="Josefin Sans Light" w:eastAsia="Times New Roman" w:hAnsi="Josefin Sans Light" w:cs="Times New Roman"/>
          <w:color w:val="502C1E"/>
          <w:kern w:val="0"/>
          <w:sz w:val="22"/>
          <w:szCs w:val="22"/>
          <w14:ligatures w14:val="none"/>
        </w:rPr>
        <w:t>create additional profiles.</w:t>
      </w:r>
      <w:r w:rsidRPr="0032508A">
        <w:rPr>
          <w:rFonts w:ascii="Josefin Sans Light" w:eastAsia="Times New Roman" w:hAnsi="Josefin Sans Light" w:cs="Times New Roman"/>
          <w:color w:val="502C1E"/>
          <w:kern w:val="0"/>
          <w:sz w:val="22"/>
          <w:szCs w:val="22"/>
          <w14:ligatures w14:val="none"/>
        </w:rPr>
        <w:t xml:space="preserve"> </w:t>
      </w:r>
    </w:p>
    <w:p w14:paraId="1535A431" w14:textId="77777777" w:rsidR="00113CAB" w:rsidRPr="0032508A" w:rsidRDefault="00113CAB" w:rsidP="0001628D">
      <w:pPr>
        <w:spacing w:after="360"/>
        <w:rPr>
          <w:rFonts w:ascii="Josefin Sans Light" w:eastAsia="Times New Roman" w:hAnsi="Josefin Sans Light" w:cs="Times New Roman"/>
          <w:color w:val="502C1E"/>
          <w:kern w:val="0"/>
          <w:sz w:val="22"/>
          <w:szCs w:val="22"/>
          <w14:ligatures w14:val="none"/>
        </w:rPr>
      </w:pPr>
    </w:p>
    <w:tbl>
      <w:tblPr>
        <w:tblW w:w="13098" w:type="dxa"/>
        <w:shd w:val="clear" w:color="auto" w:fill="F8E7EE"/>
        <w:tblCellMar>
          <w:top w:w="15" w:type="dxa"/>
          <w:left w:w="15" w:type="dxa"/>
          <w:bottom w:w="15" w:type="dxa"/>
          <w:right w:w="15" w:type="dxa"/>
        </w:tblCellMar>
        <w:tblLook w:val="06A0" w:firstRow="1" w:lastRow="0" w:firstColumn="1" w:lastColumn="0" w:noHBand="1" w:noVBand="1"/>
      </w:tblPr>
      <w:tblGrid>
        <w:gridCol w:w="2790"/>
        <w:gridCol w:w="3510"/>
        <w:gridCol w:w="3510"/>
        <w:gridCol w:w="3288"/>
      </w:tblGrid>
      <w:tr w:rsidR="001A2C03" w:rsidRPr="003F70F5" w14:paraId="560BC2EF" w14:textId="77777777" w:rsidTr="001A2C03">
        <w:trPr>
          <w:trHeight w:val="705"/>
        </w:trPr>
        <w:tc>
          <w:tcPr>
            <w:tcW w:w="2790" w:type="dxa"/>
            <w:shd w:val="clear" w:color="auto" w:fill="F36E36"/>
            <w:tcMar>
              <w:top w:w="45" w:type="dxa"/>
              <w:left w:w="165" w:type="dxa"/>
              <w:bottom w:w="45" w:type="dxa"/>
              <w:right w:w="75" w:type="dxa"/>
            </w:tcMar>
            <w:vAlign w:val="center"/>
            <w:hideMark/>
          </w:tcPr>
          <w:p w14:paraId="5B6BCD26" w14:textId="1B853858" w:rsidR="0078090A" w:rsidRPr="003F70F5" w:rsidRDefault="0078090A" w:rsidP="003F70F5">
            <w:pPr>
              <w:rPr>
                <w:rFonts w:ascii="Josefin Sans SemiBold" w:eastAsia="Times New Roman" w:hAnsi="Josefin Sans SemiBold" w:cs="Times New Roman"/>
                <w:b/>
                <w:bCs/>
                <w:kern w:val="0"/>
                <w14:ligatures w14:val="none"/>
              </w:rPr>
            </w:pPr>
            <w:r w:rsidRPr="003F70F5">
              <w:rPr>
                <w:rFonts w:ascii="Josefin Sans SemiBold" w:eastAsia="Times New Roman" w:hAnsi="Josefin Sans SemiBold" w:cs="Times New Roman"/>
                <w:b/>
                <w:bCs/>
                <w:kern w:val="0"/>
                <w14:ligatures w14:val="none"/>
              </w:rPr>
              <w:t> </w:t>
            </w:r>
            <w:r w:rsidRPr="003F70F5">
              <w:rPr>
                <w:rFonts w:ascii="Josefin Sans SemiBold" w:eastAsia="Times New Roman" w:hAnsi="Josefin Sans SemiBold" w:cs="Times New Roman"/>
                <w:b/>
                <w:bCs/>
                <w:color w:val="FEFFFE"/>
                <w:kern w:val="0"/>
                <w:sz w:val="28"/>
                <w:szCs w:val="28"/>
                <w14:ligatures w14:val="none"/>
              </w:rPr>
              <w:t>D</w:t>
            </w:r>
            <w:r w:rsidR="0083701C">
              <w:rPr>
                <w:rFonts w:ascii="Josefin Sans SemiBold" w:eastAsia="Times New Roman" w:hAnsi="Josefin Sans SemiBold" w:cs="Times New Roman"/>
                <w:b/>
                <w:bCs/>
                <w:color w:val="FEFFFE"/>
                <w:kern w:val="0"/>
                <w:sz w:val="28"/>
                <w:szCs w:val="28"/>
                <w14:ligatures w14:val="none"/>
              </w:rPr>
              <w:t>ata</w:t>
            </w:r>
          </w:p>
        </w:tc>
        <w:tc>
          <w:tcPr>
            <w:tcW w:w="3510" w:type="dxa"/>
            <w:shd w:val="clear" w:color="auto" w:fill="F36E36"/>
            <w:tcMar>
              <w:top w:w="45" w:type="dxa"/>
              <w:left w:w="165" w:type="dxa"/>
              <w:bottom w:w="45" w:type="dxa"/>
              <w:right w:w="75" w:type="dxa"/>
            </w:tcMar>
            <w:vAlign w:val="center"/>
            <w:hideMark/>
          </w:tcPr>
          <w:p w14:paraId="51AA07A4" w14:textId="7A32AAE0" w:rsidR="0078090A" w:rsidRPr="003F70F5" w:rsidRDefault="0078090A" w:rsidP="003F70F5">
            <w:pPr>
              <w:rPr>
                <w:rFonts w:ascii="Josefin Sans SemiBold" w:eastAsia="Times New Roman" w:hAnsi="Josefin Sans SemiBold" w:cs="Times New Roman"/>
                <w:b/>
                <w:bCs/>
                <w:kern w:val="0"/>
                <w14:ligatures w14:val="none"/>
              </w:rPr>
            </w:pPr>
            <w:r w:rsidRPr="003F70F5">
              <w:rPr>
                <w:rFonts w:ascii="Josefin Sans SemiBold" w:eastAsia="Times New Roman" w:hAnsi="Josefin Sans SemiBold" w:cs="Times New Roman"/>
                <w:b/>
                <w:bCs/>
                <w:color w:val="FEFFFE"/>
                <w:kern w:val="0"/>
                <w:sz w:val="28"/>
                <w:szCs w:val="28"/>
                <w14:ligatures w14:val="none"/>
              </w:rPr>
              <w:t>Workplace </w:t>
            </w:r>
            <w:r w:rsidR="006D3E2F">
              <w:rPr>
                <w:rFonts w:ascii="Josefin Sans SemiBold" w:eastAsia="Times New Roman" w:hAnsi="Josefin Sans SemiBold" w:cs="Times New Roman"/>
                <w:b/>
                <w:bCs/>
                <w:color w:val="FEFFFE"/>
                <w:kern w:val="0"/>
                <w:sz w:val="28"/>
                <w:szCs w:val="28"/>
                <w14:ligatures w14:val="none"/>
              </w:rPr>
              <w:t>Ecology</w:t>
            </w:r>
          </w:p>
        </w:tc>
        <w:tc>
          <w:tcPr>
            <w:tcW w:w="3510" w:type="dxa"/>
            <w:shd w:val="clear" w:color="auto" w:fill="F36E36"/>
            <w:tcMar>
              <w:top w:w="45" w:type="dxa"/>
              <w:left w:w="165" w:type="dxa"/>
              <w:bottom w:w="45" w:type="dxa"/>
              <w:right w:w="75" w:type="dxa"/>
            </w:tcMar>
            <w:vAlign w:val="center"/>
            <w:hideMark/>
          </w:tcPr>
          <w:p w14:paraId="02F3FA72" w14:textId="28280D6D" w:rsidR="0078090A" w:rsidRPr="003F70F5" w:rsidRDefault="0078090A" w:rsidP="003F70F5">
            <w:pPr>
              <w:rPr>
                <w:rFonts w:ascii="Josefin Sans SemiBold" w:eastAsia="Times New Roman" w:hAnsi="Josefin Sans SemiBold" w:cs="Times New Roman"/>
                <w:b/>
                <w:bCs/>
                <w:kern w:val="0"/>
                <w14:ligatures w14:val="none"/>
              </w:rPr>
            </w:pPr>
            <w:r>
              <w:rPr>
                <w:rFonts w:ascii="Josefin Sans SemiBold" w:eastAsia="Times New Roman" w:hAnsi="Josefin Sans SemiBold" w:cs="Times New Roman"/>
                <w:b/>
                <w:bCs/>
                <w:color w:val="FEFFFE"/>
                <w:kern w:val="0"/>
                <w:sz w:val="28"/>
                <w:szCs w:val="28"/>
                <w14:ligatures w14:val="none"/>
              </w:rPr>
              <w:t>Patient</w:t>
            </w:r>
            <w:r w:rsidR="003A2D34">
              <w:rPr>
                <w:rFonts w:ascii="Josefin Sans SemiBold" w:eastAsia="Times New Roman" w:hAnsi="Josefin Sans SemiBold" w:cs="Times New Roman"/>
                <w:b/>
                <w:bCs/>
                <w:color w:val="FEFFFE"/>
                <w:kern w:val="0"/>
                <w:sz w:val="28"/>
                <w:szCs w:val="28"/>
                <w14:ligatures w14:val="none"/>
              </w:rPr>
              <w:t>/Caregiver</w:t>
            </w:r>
            <w:r>
              <w:rPr>
                <w:rFonts w:ascii="Josefin Sans SemiBold" w:eastAsia="Times New Roman" w:hAnsi="Josefin Sans SemiBold" w:cs="Times New Roman"/>
                <w:b/>
                <w:bCs/>
                <w:color w:val="FEFFFE"/>
                <w:kern w:val="0"/>
                <w:sz w:val="28"/>
                <w:szCs w:val="28"/>
                <w14:ligatures w14:val="none"/>
              </w:rPr>
              <w:t xml:space="preserve"> Engagement</w:t>
            </w:r>
          </w:p>
        </w:tc>
        <w:tc>
          <w:tcPr>
            <w:tcW w:w="3288" w:type="dxa"/>
            <w:shd w:val="clear" w:color="auto" w:fill="F36E36"/>
            <w:tcMar>
              <w:top w:w="45" w:type="dxa"/>
              <w:left w:w="165" w:type="dxa"/>
              <w:bottom w:w="45" w:type="dxa"/>
              <w:right w:w="75" w:type="dxa"/>
            </w:tcMar>
            <w:vAlign w:val="center"/>
            <w:hideMark/>
          </w:tcPr>
          <w:p w14:paraId="64DB8F0D" w14:textId="2397CEAA" w:rsidR="0078090A" w:rsidRPr="003F70F5" w:rsidRDefault="003A2D34" w:rsidP="003F70F5">
            <w:pPr>
              <w:rPr>
                <w:rFonts w:ascii="Josefin Sans SemiBold" w:eastAsia="Times New Roman" w:hAnsi="Josefin Sans SemiBold" w:cs="Times New Roman"/>
                <w:b/>
                <w:bCs/>
                <w:kern w:val="0"/>
                <w14:ligatures w14:val="none"/>
              </w:rPr>
            </w:pPr>
            <w:r>
              <w:rPr>
                <w:rFonts w:ascii="Josefin Sans SemiBold" w:eastAsia="Times New Roman" w:hAnsi="Josefin Sans SemiBold" w:cs="Times New Roman"/>
                <w:b/>
                <w:bCs/>
                <w:color w:val="FEFFFE"/>
                <w:kern w:val="0"/>
                <w:sz w:val="28"/>
                <w:szCs w:val="28"/>
                <w14:ligatures w14:val="none"/>
              </w:rPr>
              <w:t>Opportunities/</w:t>
            </w:r>
            <w:r>
              <w:rPr>
                <w:rFonts w:ascii="Josefin Sans SemiBold" w:eastAsia="Times New Roman" w:hAnsi="Josefin Sans SemiBold" w:cs="Times New Roman"/>
                <w:b/>
                <w:bCs/>
                <w:color w:val="FEFFFE"/>
                <w:kern w:val="0"/>
                <w:sz w:val="28"/>
                <w:szCs w:val="28"/>
                <w14:ligatures w14:val="none"/>
              </w:rPr>
              <w:br/>
            </w:r>
            <w:r w:rsidR="0078090A" w:rsidRPr="003F70F5">
              <w:rPr>
                <w:rFonts w:ascii="Josefin Sans SemiBold" w:eastAsia="Times New Roman" w:hAnsi="Josefin Sans SemiBold" w:cs="Times New Roman"/>
                <w:b/>
                <w:bCs/>
                <w:color w:val="FEFFFE"/>
                <w:kern w:val="0"/>
                <w:sz w:val="28"/>
                <w:szCs w:val="28"/>
                <w14:ligatures w14:val="none"/>
              </w:rPr>
              <w:t>Friction Points</w:t>
            </w:r>
          </w:p>
        </w:tc>
      </w:tr>
      <w:tr w:rsidR="001A2C03" w:rsidRPr="0032508A" w14:paraId="2BDC3BFF" w14:textId="77777777" w:rsidTr="00C37908">
        <w:trPr>
          <w:trHeight w:val="3540"/>
        </w:trPr>
        <w:tc>
          <w:tcPr>
            <w:tcW w:w="2790" w:type="dxa"/>
            <w:tcBorders>
              <w:bottom w:val="single" w:sz="2" w:space="0" w:color="502C1E"/>
            </w:tcBorders>
            <w:shd w:val="clear" w:color="auto" w:fill="FEFFFE"/>
            <w:tcMar>
              <w:top w:w="150" w:type="dxa"/>
              <w:left w:w="165" w:type="dxa"/>
              <w:bottom w:w="150" w:type="dxa"/>
              <w:right w:w="75" w:type="dxa"/>
            </w:tcMar>
            <w:hideMark/>
          </w:tcPr>
          <w:p w14:paraId="59B5C0AF" w14:textId="213CCCEA" w:rsidR="0078090A" w:rsidRPr="00C37908" w:rsidRDefault="00B91FC0" w:rsidP="0032508A">
            <w:pPr>
              <w:numPr>
                <w:ilvl w:val="0"/>
                <w:numId w:val="1"/>
              </w:numPr>
              <w:ind w:left="480"/>
              <w:textAlignment w:val="baseline"/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</w:pPr>
            <w:r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>Life stage (e.g.</w:t>
            </w:r>
            <w:r w:rsidR="00711047"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 xml:space="preserve"> young children, empty nest)</w:t>
            </w:r>
          </w:p>
          <w:p w14:paraId="2CADE8EB" w14:textId="4DA979F8" w:rsidR="0078090A" w:rsidRPr="00C37908" w:rsidRDefault="003A2D34" w:rsidP="003F70F5">
            <w:pPr>
              <w:numPr>
                <w:ilvl w:val="0"/>
                <w:numId w:val="1"/>
              </w:numPr>
              <w:spacing w:before="160"/>
              <w:ind w:left="480"/>
              <w:textAlignment w:val="baseline"/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</w:pPr>
            <w:r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>Education</w:t>
            </w:r>
          </w:p>
          <w:p w14:paraId="26CD5611" w14:textId="7935ECB5" w:rsidR="0078090A" w:rsidRPr="00C37908" w:rsidRDefault="003A2D34" w:rsidP="003F70F5">
            <w:pPr>
              <w:numPr>
                <w:ilvl w:val="0"/>
                <w:numId w:val="1"/>
              </w:numPr>
              <w:spacing w:before="160"/>
              <w:ind w:left="480"/>
              <w:textAlignment w:val="baseline"/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</w:pPr>
            <w:r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>Income</w:t>
            </w:r>
          </w:p>
          <w:p w14:paraId="5A23AA43" w14:textId="77777777" w:rsidR="0083701C" w:rsidRPr="00C37908" w:rsidRDefault="0083701C" w:rsidP="0032508A">
            <w:pPr>
              <w:numPr>
                <w:ilvl w:val="0"/>
                <w:numId w:val="1"/>
              </w:numPr>
              <w:spacing w:before="160"/>
              <w:ind w:left="480"/>
              <w:textAlignment w:val="baseline"/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</w:pPr>
            <w:r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 xml:space="preserve">Benefit elections + </w:t>
            </w:r>
            <w:r w:rsidR="00C37908"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 xml:space="preserve">claims </w:t>
            </w:r>
          </w:p>
          <w:p w14:paraId="2E6B83B9" w14:textId="2547BEAF" w:rsidR="00C37908" w:rsidRPr="00C37908" w:rsidRDefault="00C37908" w:rsidP="0032508A">
            <w:pPr>
              <w:numPr>
                <w:ilvl w:val="0"/>
                <w:numId w:val="1"/>
              </w:numPr>
              <w:spacing w:before="160"/>
              <w:ind w:left="480"/>
              <w:textAlignment w:val="baseline"/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</w:pPr>
            <w:r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>Media platform metrics</w:t>
            </w:r>
          </w:p>
        </w:tc>
        <w:tc>
          <w:tcPr>
            <w:tcW w:w="3510" w:type="dxa"/>
            <w:tcBorders>
              <w:bottom w:val="single" w:sz="2" w:space="0" w:color="502C1E"/>
            </w:tcBorders>
            <w:shd w:val="clear" w:color="auto" w:fill="FEFFFE"/>
            <w:tcMar>
              <w:top w:w="150" w:type="dxa"/>
              <w:left w:w="165" w:type="dxa"/>
              <w:bottom w:w="150" w:type="dxa"/>
              <w:right w:w="75" w:type="dxa"/>
            </w:tcMar>
            <w:hideMark/>
          </w:tcPr>
          <w:p w14:paraId="198B6ABD" w14:textId="5E1BD285" w:rsidR="003A2D34" w:rsidRPr="00C37908" w:rsidRDefault="003A2D34" w:rsidP="00B73E93">
            <w:pPr>
              <w:numPr>
                <w:ilvl w:val="0"/>
                <w:numId w:val="1"/>
              </w:numPr>
              <w:ind w:left="480"/>
              <w:textAlignment w:val="baseline"/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</w:pPr>
            <w:r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>Employee engagement</w:t>
            </w:r>
            <w:r w:rsidR="0032508A"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 xml:space="preserve"> </w:t>
            </w:r>
            <w:r w:rsidR="001A2C03"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>+ trust</w:t>
            </w:r>
          </w:p>
          <w:p w14:paraId="7B723277" w14:textId="0D6B08C9" w:rsidR="00C37908" w:rsidRPr="00C37908" w:rsidRDefault="00C37908" w:rsidP="00C37908">
            <w:pPr>
              <w:numPr>
                <w:ilvl w:val="0"/>
                <w:numId w:val="2"/>
              </w:numPr>
              <w:spacing w:before="200"/>
              <w:ind w:left="480"/>
              <w:textAlignment w:val="baseline"/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</w:pPr>
            <w:r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 xml:space="preserve">Culture </w:t>
            </w:r>
            <w:r w:rsidR="006D3E2F"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 xml:space="preserve">+ </w:t>
            </w:r>
            <w:r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 xml:space="preserve">job </w:t>
            </w:r>
            <w:r w:rsidR="003A2D34"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>autonomy</w:t>
            </w:r>
            <w:r w:rsidR="006D3E2F"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 xml:space="preserve"> (e.g. manufacturing, </w:t>
            </w:r>
            <w:r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br/>
              <w:t>remote</w:t>
            </w:r>
            <w:r w:rsidR="006D3E2F"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 xml:space="preserve"> work)</w:t>
            </w:r>
          </w:p>
          <w:p w14:paraId="76A62305" w14:textId="23DA384F" w:rsidR="006D3E2F" w:rsidRPr="00C37908" w:rsidRDefault="00C37908" w:rsidP="00C37908">
            <w:pPr>
              <w:numPr>
                <w:ilvl w:val="0"/>
                <w:numId w:val="2"/>
              </w:numPr>
              <w:spacing w:before="200"/>
              <w:ind w:left="480"/>
              <w:textAlignment w:val="baseline"/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</w:pPr>
            <w:r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>Benefit v</w:t>
            </w:r>
            <w:r w:rsidR="006D3E2F"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>alue—perceived and comparative</w:t>
            </w:r>
          </w:p>
          <w:p w14:paraId="7FE9EDE3" w14:textId="39C7E427" w:rsidR="0032508A" w:rsidRPr="00C37908" w:rsidRDefault="00C37908" w:rsidP="00C37908">
            <w:pPr>
              <w:numPr>
                <w:ilvl w:val="0"/>
                <w:numId w:val="3"/>
              </w:numPr>
              <w:spacing w:before="200"/>
              <w:ind w:left="480"/>
              <w:textAlignment w:val="baseline"/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</w:pPr>
            <w:r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>Benefit r</w:t>
            </w:r>
            <w:r w:rsidR="0009026D"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>einforcements (</w:t>
            </w:r>
            <w:r w:rsidR="003A2D34"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 xml:space="preserve">e.g. </w:t>
            </w:r>
            <w:r w:rsidR="0009026D"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>wellness rewards)</w:t>
            </w:r>
          </w:p>
        </w:tc>
        <w:tc>
          <w:tcPr>
            <w:tcW w:w="3510" w:type="dxa"/>
            <w:tcBorders>
              <w:bottom w:val="single" w:sz="2" w:space="0" w:color="502C1E"/>
            </w:tcBorders>
            <w:shd w:val="clear" w:color="auto" w:fill="FFFFFF"/>
            <w:tcMar>
              <w:top w:w="150" w:type="dxa"/>
              <w:left w:w="165" w:type="dxa"/>
              <w:bottom w:w="150" w:type="dxa"/>
              <w:right w:w="75" w:type="dxa"/>
            </w:tcMar>
            <w:hideMark/>
          </w:tcPr>
          <w:p w14:paraId="6885DCC0" w14:textId="01219707" w:rsidR="0078090A" w:rsidRPr="00C37908" w:rsidRDefault="003A2D34" w:rsidP="0032508A">
            <w:pPr>
              <w:numPr>
                <w:ilvl w:val="0"/>
                <w:numId w:val="1"/>
              </w:numPr>
              <w:ind w:left="480"/>
              <w:textAlignment w:val="baseline"/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</w:pPr>
            <w:r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>Health status</w:t>
            </w:r>
          </w:p>
          <w:p w14:paraId="07B28495" w14:textId="77777777" w:rsidR="0078090A" w:rsidRPr="00C37908" w:rsidRDefault="003A2D34" w:rsidP="00F60F20">
            <w:pPr>
              <w:numPr>
                <w:ilvl w:val="0"/>
                <w:numId w:val="4"/>
              </w:numPr>
              <w:spacing w:before="160"/>
              <w:ind w:left="480"/>
              <w:textAlignment w:val="baseline"/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</w:pPr>
            <w:r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 xml:space="preserve">Health literacy </w:t>
            </w:r>
          </w:p>
          <w:p w14:paraId="35C439E8" w14:textId="0595F547" w:rsidR="00467D28" w:rsidRPr="00C37908" w:rsidRDefault="00467D28" w:rsidP="0032508A">
            <w:pPr>
              <w:numPr>
                <w:ilvl w:val="0"/>
                <w:numId w:val="4"/>
              </w:numPr>
              <w:spacing w:before="160"/>
              <w:ind w:left="480"/>
              <w:textAlignment w:val="baseline"/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</w:pPr>
            <w:r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>Patient engagement</w:t>
            </w:r>
          </w:p>
        </w:tc>
        <w:tc>
          <w:tcPr>
            <w:tcW w:w="3288" w:type="dxa"/>
            <w:tcBorders>
              <w:bottom w:val="single" w:sz="2" w:space="0" w:color="502C1E"/>
            </w:tcBorders>
            <w:shd w:val="clear" w:color="auto" w:fill="auto"/>
            <w:tcMar>
              <w:top w:w="150" w:type="dxa"/>
              <w:left w:w="165" w:type="dxa"/>
              <w:bottom w:w="150" w:type="dxa"/>
              <w:right w:w="75" w:type="dxa"/>
            </w:tcMar>
            <w:hideMark/>
          </w:tcPr>
          <w:p w14:paraId="39F4AD3D" w14:textId="77777777" w:rsidR="0001628D" w:rsidRPr="00C37908" w:rsidRDefault="0001628D" w:rsidP="0032508A">
            <w:pPr>
              <w:numPr>
                <w:ilvl w:val="0"/>
                <w:numId w:val="1"/>
              </w:numPr>
              <w:ind w:left="480"/>
              <w:textAlignment w:val="baseline"/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</w:pPr>
            <w:r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>Complexity</w:t>
            </w:r>
          </w:p>
          <w:p w14:paraId="1492C759" w14:textId="62BE4F4A" w:rsidR="0078090A" w:rsidRPr="00C37908" w:rsidRDefault="0078090A" w:rsidP="0032508A">
            <w:pPr>
              <w:numPr>
                <w:ilvl w:val="0"/>
                <w:numId w:val="4"/>
              </w:numPr>
              <w:spacing w:before="160"/>
              <w:ind w:left="480"/>
              <w:textAlignment w:val="baseline"/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</w:pPr>
            <w:r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>Perceived benefits</w:t>
            </w:r>
          </w:p>
          <w:p w14:paraId="4EEEF3F1" w14:textId="71636A63" w:rsidR="0078090A" w:rsidRPr="00C37908" w:rsidRDefault="0078090A" w:rsidP="0032508A">
            <w:pPr>
              <w:numPr>
                <w:ilvl w:val="0"/>
                <w:numId w:val="4"/>
              </w:numPr>
              <w:spacing w:before="160"/>
              <w:ind w:left="480"/>
              <w:textAlignment w:val="baseline"/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</w:pPr>
            <w:r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 xml:space="preserve">Perceived </w:t>
            </w:r>
            <w:r w:rsidR="006D3E2F"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>barriers</w:t>
            </w:r>
          </w:p>
          <w:p w14:paraId="139B50F7" w14:textId="77777777" w:rsidR="0078090A" w:rsidRPr="00C37908" w:rsidRDefault="0078090A" w:rsidP="0032508A">
            <w:pPr>
              <w:numPr>
                <w:ilvl w:val="0"/>
                <w:numId w:val="4"/>
              </w:numPr>
              <w:spacing w:before="160"/>
              <w:ind w:left="480"/>
              <w:textAlignment w:val="baseline"/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</w:pPr>
            <w:r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>Self-efficacy</w:t>
            </w:r>
          </w:p>
          <w:p w14:paraId="0E2B3D52" w14:textId="3AA7E663" w:rsidR="006D3E2F" w:rsidRPr="00C37908" w:rsidRDefault="006D3E2F" w:rsidP="0032508A">
            <w:pPr>
              <w:numPr>
                <w:ilvl w:val="0"/>
                <w:numId w:val="4"/>
              </w:numPr>
              <w:spacing w:before="160"/>
              <w:ind w:left="480"/>
              <w:textAlignment w:val="baseline"/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</w:pPr>
            <w:r w:rsidRPr="00C37908">
              <w:rPr>
                <w:rFonts w:ascii="Josefin Sans Light" w:eastAsia="Times New Roman" w:hAnsi="Josefin Sans Light" w:cs="Times New Roman"/>
                <w:color w:val="502C1E"/>
                <w:kern w:val="0"/>
                <w:sz w:val="22"/>
                <w:szCs w:val="22"/>
                <w14:ligatures w14:val="none"/>
              </w:rPr>
              <w:t>Cues to action</w:t>
            </w:r>
          </w:p>
        </w:tc>
      </w:tr>
      <w:tr w:rsidR="0032508A" w:rsidRPr="00467D28" w14:paraId="6E551CD3" w14:textId="77777777" w:rsidTr="00C37908">
        <w:trPr>
          <w:trHeight w:val="827"/>
        </w:trPr>
        <w:tc>
          <w:tcPr>
            <w:tcW w:w="2790" w:type="dxa"/>
            <w:tcBorders>
              <w:top w:val="single" w:sz="2" w:space="0" w:color="502C1E"/>
            </w:tcBorders>
            <w:shd w:val="clear" w:color="auto" w:fill="auto"/>
            <w:tcMar>
              <w:top w:w="45" w:type="dxa"/>
              <w:left w:w="165" w:type="dxa"/>
              <w:bottom w:w="45" w:type="dxa"/>
              <w:right w:w="75" w:type="dxa"/>
            </w:tcMar>
            <w:vAlign w:val="center"/>
            <w:hideMark/>
          </w:tcPr>
          <w:p w14:paraId="32AB33B6" w14:textId="176EF426" w:rsidR="0078090A" w:rsidRPr="00467D28" w:rsidRDefault="00000000" w:rsidP="003F70F5">
            <w:pPr>
              <w:rPr>
                <w:rFonts w:ascii="Josefin Sans" w:eastAsia="Times New Roman" w:hAnsi="Josefin Sans" w:cs="Times New Roman"/>
                <w:color w:val="F36E36"/>
                <w:kern w:val="0"/>
                <w:sz w:val="16"/>
                <w:szCs w:val="16"/>
                <w:u w:val="single"/>
                <w14:ligatures w14:val="none"/>
              </w:rPr>
            </w:pPr>
            <w:hyperlink r:id="rId7" w:history="1">
              <w:r w:rsidR="00467D28" w:rsidRPr="00467D28">
                <w:rPr>
                  <w:rFonts w:ascii="Josefin Sans" w:eastAsia="Times New Roman" w:hAnsi="Josefin Sans" w:cs="Times New Roman"/>
                  <w:color w:val="F36E36"/>
                  <w:kern w:val="0"/>
                  <w:sz w:val="16"/>
                  <w:szCs w:val="16"/>
                  <w:u w:val="single"/>
                  <w14:ligatures w14:val="none"/>
                </w:rPr>
                <w:t>HSA trends</w:t>
              </w:r>
            </w:hyperlink>
          </w:p>
          <w:p w14:paraId="4EA6CEE4" w14:textId="77777777" w:rsidR="00467D28" w:rsidRPr="00467D28" w:rsidRDefault="00000000" w:rsidP="003F70F5">
            <w:pPr>
              <w:rPr>
                <w:rFonts w:ascii="Josefin Sans" w:eastAsia="Times New Roman" w:hAnsi="Josefin Sans" w:cs="Times New Roman"/>
                <w:color w:val="F36E36"/>
                <w:kern w:val="0"/>
                <w:sz w:val="16"/>
                <w:szCs w:val="16"/>
                <w:u w:val="single"/>
                <w14:ligatures w14:val="none"/>
              </w:rPr>
            </w:pPr>
            <w:hyperlink r:id="rId8" w:history="1">
              <w:r w:rsidR="00467D28" w:rsidRPr="00467D28">
                <w:rPr>
                  <w:rFonts w:ascii="Josefin Sans" w:hAnsi="Josefin Sans"/>
                  <w:color w:val="F36E36"/>
                  <w:sz w:val="16"/>
                  <w:szCs w:val="16"/>
                  <w:u w:val="single"/>
                </w:rPr>
                <w:t>Caregiving trends</w:t>
              </w:r>
            </w:hyperlink>
          </w:p>
          <w:p w14:paraId="3AF66ADF" w14:textId="1BFF0966" w:rsidR="00467D28" w:rsidRPr="00467D28" w:rsidRDefault="00000000" w:rsidP="003F70F5">
            <w:pPr>
              <w:rPr>
                <w:rFonts w:ascii="Josefin Sans" w:eastAsia="Times New Roman" w:hAnsi="Josefin Sans" w:cs="Times New Roman"/>
                <w:color w:val="F36E36"/>
                <w:kern w:val="0"/>
                <w:u w:val="single"/>
                <w14:ligatures w14:val="none"/>
              </w:rPr>
            </w:pPr>
            <w:hyperlink r:id="rId9" w:history="1">
              <w:r w:rsidR="00467D28" w:rsidRPr="00467D28">
                <w:rPr>
                  <w:rStyle w:val="Hyperlink"/>
                  <w:rFonts w:ascii="Josefin Sans" w:eastAsia="Times New Roman" w:hAnsi="Josefin Sans" w:cs="Times New Roman"/>
                  <w:color w:val="F36E36"/>
                  <w:kern w:val="0"/>
                  <w:sz w:val="16"/>
                  <w:szCs w:val="16"/>
                  <w14:ligatures w14:val="none"/>
                </w:rPr>
                <w:t>Financial wellness trends</w:t>
              </w:r>
            </w:hyperlink>
          </w:p>
        </w:tc>
        <w:tc>
          <w:tcPr>
            <w:tcW w:w="3510" w:type="dxa"/>
            <w:tcBorders>
              <w:top w:val="single" w:sz="2" w:space="0" w:color="502C1E"/>
            </w:tcBorders>
            <w:shd w:val="clear" w:color="auto" w:fill="auto"/>
            <w:tcMar>
              <w:top w:w="45" w:type="dxa"/>
              <w:left w:w="165" w:type="dxa"/>
              <w:bottom w:w="45" w:type="dxa"/>
              <w:right w:w="75" w:type="dxa"/>
            </w:tcMar>
            <w:vAlign w:val="center"/>
            <w:hideMark/>
          </w:tcPr>
          <w:p w14:paraId="1A6EC08F" w14:textId="44EC93A6" w:rsidR="0078090A" w:rsidRPr="00467D28" w:rsidRDefault="00000000" w:rsidP="003F70F5">
            <w:pPr>
              <w:rPr>
                <w:rFonts w:ascii="Times New Roman" w:eastAsia="Times New Roman" w:hAnsi="Times New Roman" w:cs="Times New Roman"/>
                <w:color w:val="F36E36"/>
                <w:kern w:val="0"/>
                <w:u w:val="single"/>
                <w14:ligatures w14:val="none"/>
              </w:rPr>
            </w:pPr>
            <w:hyperlink r:id="rId10" w:history="1">
              <w:r w:rsidR="0009026D" w:rsidRPr="00467D28">
                <w:rPr>
                  <w:rStyle w:val="Hyperlink"/>
                  <w:rFonts w:ascii="Josefin Sans" w:eastAsia="Times New Roman" w:hAnsi="Josefin Sans" w:cs="Times New Roman"/>
                  <w:color w:val="F36E36"/>
                  <w:kern w:val="0"/>
                  <w:sz w:val="16"/>
                  <w:szCs w:val="16"/>
                  <w14:ligatures w14:val="none"/>
                </w:rPr>
                <w:t>Diffusion of Innovation Theory</w:t>
              </w:r>
            </w:hyperlink>
          </w:p>
        </w:tc>
        <w:tc>
          <w:tcPr>
            <w:tcW w:w="3510" w:type="dxa"/>
            <w:tcBorders>
              <w:top w:val="single" w:sz="2" w:space="0" w:color="502C1E"/>
            </w:tcBorders>
            <w:shd w:val="clear" w:color="auto" w:fill="auto"/>
            <w:tcMar>
              <w:top w:w="45" w:type="dxa"/>
              <w:left w:w="165" w:type="dxa"/>
              <w:bottom w:w="45" w:type="dxa"/>
              <w:right w:w="75" w:type="dxa"/>
            </w:tcMar>
            <w:vAlign w:val="center"/>
            <w:hideMark/>
          </w:tcPr>
          <w:p w14:paraId="064E73EB" w14:textId="77777777" w:rsidR="0078090A" w:rsidRPr="00467D28" w:rsidRDefault="00000000" w:rsidP="003F70F5">
            <w:pPr>
              <w:rPr>
                <w:rFonts w:ascii="Josefin Sans" w:eastAsia="Times New Roman" w:hAnsi="Josefin Sans" w:cs="Times New Roman"/>
                <w:color w:val="F36E36"/>
                <w:kern w:val="0"/>
                <w:sz w:val="16"/>
                <w:szCs w:val="16"/>
                <w:u w:val="single"/>
                <w14:ligatures w14:val="none"/>
              </w:rPr>
            </w:pPr>
            <w:hyperlink r:id="rId11" w:history="1">
              <w:r w:rsidR="0078090A" w:rsidRPr="00467D28">
                <w:rPr>
                  <w:rStyle w:val="Hyperlink"/>
                  <w:rFonts w:ascii="Josefin Sans" w:eastAsia="Times New Roman" w:hAnsi="Josefin Sans" w:cs="Times New Roman"/>
                  <w:color w:val="F36E36"/>
                  <w:kern w:val="0"/>
                  <w:sz w:val="16"/>
                  <w:szCs w:val="16"/>
                  <w14:ligatures w14:val="none"/>
                </w:rPr>
                <w:t>Society for Participatory Medicine</w:t>
              </w:r>
            </w:hyperlink>
          </w:p>
          <w:p w14:paraId="4F755238" w14:textId="77777777" w:rsidR="000D330D" w:rsidRPr="00467D28" w:rsidRDefault="00000000" w:rsidP="003F70F5">
            <w:pPr>
              <w:rPr>
                <w:rFonts w:ascii="Josefin Sans" w:eastAsia="Times New Roman" w:hAnsi="Josefin Sans" w:cs="Times New Roman"/>
                <w:color w:val="F36E36"/>
                <w:kern w:val="0"/>
                <w:sz w:val="16"/>
                <w:szCs w:val="16"/>
                <w:u w:val="single"/>
                <w14:ligatures w14:val="none"/>
              </w:rPr>
            </w:pPr>
            <w:hyperlink r:id="rId12" w:history="1">
              <w:r w:rsidR="000D330D" w:rsidRPr="00467D28">
                <w:rPr>
                  <w:rStyle w:val="Hyperlink"/>
                  <w:rFonts w:ascii="Josefin Sans" w:eastAsia="Times New Roman" w:hAnsi="Josefin Sans" w:cs="Times New Roman"/>
                  <w:color w:val="F36E36"/>
                  <w:kern w:val="0"/>
                  <w:sz w:val="16"/>
                  <w:szCs w:val="16"/>
                  <w14:ligatures w14:val="none"/>
                </w:rPr>
                <w:t>Patient Health Engagement Model</w:t>
              </w:r>
            </w:hyperlink>
          </w:p>
          <w:p w14:paraId="25DDF5BC" w14:textId="3BF0EC2D" w:rsidR="000D330D" w:rsidRPr="00467D28" w:rsidRDefault="00000000" w:rsidP="003F70F5">
            <w:pPr>
              <w:rPr>
                <w:rFonts w:ascii="Josefin Sans Light" w:eastAsia="Times New Roman" w:hAnsi="Josefin Sans Light" w:cs="Times New Roman"/>
                <w:color w:val="F36E36"/>
                <w:kern w:val="0"/>
                <w:sz w:val="16"/>
                <w:szCs w:val="16"/>
                <w:u w:val="single"/>
                <w14:ligatures w14:val="none"/>
              </w:rPr>
            </w:pPr>
            <w:hyperlink r:id="rId13" w:history="1">
              <w:r w:rsidR="000D330D" w:rsidRPr="00467D28">
                <w:rPr>
                  <w:rStyle w:val="Hyperlink"/>
                  <w:rFonts w:ascii="Josefin Sans" w:eastAsia="Times New Roman" w:hAnsi="Josefin Sans" w:cs="Times New Roman"/>
                  <w:color w:val="F36E36"/>
                  <w:kern w:val="0"/>
                  <w:sz w:val="16"/>
                  <w:szCs w:val="16"/>
                  <w14:ligatures w14:val="none"/>
                </w:rPr>
                <w:t>Patient Activation Measure</w:t>
              </w:r>
            </w:hyperlink>
          </w:p>
        </w:tc>
        <w:tc>
          <w:tcPr>
            <w:tcW w:w="3288" w:type="dxa"/>
            <w:tcBorders>
              <w:top w:val="single" w:sz="2" w:space="0" w:color="502C1E"/>
            </w:tcBorders>
            <w:shd w:val="clear" w:color="auto" w:fill="auto"/>
            <w:tcMar>
              <w:top w:w="45" w:type="dxa"/>
              <w:left w:w="165" w:type="dxa"/>
              <w:bottom w:w="45" w:type="dxa"/>
              <w:right w:w="75" w:type="dxa"/>
            </w:tcMar>
            <w:vAlign w:val="center"/>
            <w:hideMark/>
          </w:tcPr>
          <w:p w14:paraId="4F28E139" w14:textId="6DE4EE95" w:rsidR="0078090A" w:rsidRPr="00467D28" w:rsidRDefault="00000000" w:rsidP="003F70F5">
            <w:pPr>
              <w:rPr>
                <w:rFonts w:ascii="Josefin Sans" w:eastAsia="Times New Roman" w:hAnsi="Josefin Sans" w:cs="Times New Roman"/>
                <w:color w:val="F36E36"/>
                <w:kern w:val="0"/>
                <w:sz w:val="16"/>
                <w:szCs w:val="16"/>
                <w:u w:val="single"/>
                <w14:ligatures w14:val="none"/>
              </w:rPr>
            </w:pPr>
            <w:hyperlink r:id="rId14" w:history="1">
              <w:r w:rsidR="0078090A" w:rsidRPr="00467D28">
                <w:rPr>
                  <w:rFonts w:ascii="Josefin Sans" w:eastAsia="Times New Roman" w:hAnsi="Josefin Sans" w:cs="Times New Roman"/>
                  <w:color w:val="F36E36"/>
                  <w:kern w:val="0"/>
                  <w:sz w:val="16"/>
                  <w:szCs w:val="16"/>
                  <w:u w:val="single"/>
                  <w14:ligatures w14:val="none"/>
                </w:rPr>
                <w:t>Theory at a Glance: A Guide for Health Promotion Practice</w:t>
              </w:r>
            </w:hyperlink>
          </w:p>
        </w:tc>
      </w:tr>
    </w:tbl>
    <w:p w14:paraId="7EAD656E" w14:textId="77777777" w:rsidR="003F70F5" w:rsidRDefault="003F70F5"/>
    <w:sectPr w:rsidR="003F70F5" w:rsidSect="009435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143" w:right="1440" w:bottom="1440" w:left="1080" w:header="720" w:footer="4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CE37" w14:textId="77777777" w:rsidR="00985A26" w:rsidRDefault="00985A26" w:rsidP="000D4DD3">
      <w:r>
        <w:separator/>
      </w:r>
    </w:p>
  </w:endnote>
  <w:endnote w:type="continuationSeparator" w:id="0">
    <w:p w14:paraId="50720F1A" w14:textId="77777777" w:rsidR="00985A26" w:rsidRDefault="00985A26" w:rsidP="000D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Josefin Sans">
    <w:panose1 w:val="00000000000000000000"/>
    <w:charset w:val="4D"/>
    <w:family w:val="auto"/>
    <w:pitch w:val="variable"/>
    <w:sig w:usb0="A00000FF" w:usb1="4000204B" w:usb2="00000000" w:usb3="00000000" w:csb0="00000193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Josefin Sans Light">
    <w:panose1 w:val="00000000000000000000"/>
    <w:charset w:val="4D"/>
    <w:family w:val="auto"/>
    <w:pitch w:val="variable"/>
    <w:sig w:usb0="A00000FF" w:usb1="4000204B" w:usb2="00000000" w:usb3="00000000" w:csb0="00000193" w:csb1="00000000"/>
  </w:font>
  <w:font w:name="Josefin Sans SemiBold">
    <w:panose1 w:val="00000000000000000000"/>
    <w:charset w:val="4D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A198" w14:textId="77777777" w:rsidR="00A7618E" w:rsidRDefault="00A761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88FA" w14:textId="1AED2E60" w:rsidR="00A7618E" w:rsidRPr="00A7618E" w:rsidRDefault="00A7618E" w:rsidP="00A7618E">
    <w:pPr>
      <w:pStyle w:val="Footer"/>
      <w:tabs>
        <w:tab w:val="clear" w:pos="9360"/>
        <w:tab w:val="center" w:pos="180"/>
        <w:tab w:val="right" w:pos="13230"/>
      </w:tabs>
      <w:rPr>
        <w:rFonts w:ascii="Josefin Sans Light" w:hAnsi="Josefin Sans Light"/>
        <w:sz w:val="18"/>
        <w:szCs w:val="18"/>
      </w:rPr>
    </w:pPr>
    <w:r w:rsidRPr="00A7618E">
      <w:rPr>
        <w:rFonts w:ascii="Josefin Sans Light" w:hAnsi="Josefin Sans Light"/>
        <w:sz w:val="18"/>
        <w:szCs w:val="18"/>
      </w:rPr>
      <w:t>©2024 Vital Tales</w:t>
    </w:r>
    <w:r w:rsidRPr="00A7618E">
      <w:rPr>
        <w:rFonts w:ascii="Josefin Sans Light" w:hAnsi="Josefin Sans Light"/>
        <w:sz w:val="18"/>
        <w:szCs w:val="18"/>
      </w:rPr>
      <w:t xml:space="preserve"> </w:t>
    </w:r>
    <w:r>
      <w:rPr>
        <w:rFonts w:ascii="Josefin Sans Light" w:hAnsi="Josefin Sans Light"/>
        <w:sz w:val="18"/>
        <w:szCs w:val="18"/>
      </w:rPr>
      <w:t xml:space="preserve">| </w:t>
    </w:r>
    <w:r w:rsidRPr="00A7618E">
      <w:rPr>
        <w:rFonts w:ascii="Josefin Sans Light" w:hAnsi="Josefin Sans Light"/>
        <w:sz w:val="18"/>
        <w:szCs w:val="18"/>
      </w:rPr>
      <w:t xml:space="preserve">For more information, see: </w:t>
    </w:r>
    <w:hyperlink r:id="rId1" w:history="1">
      <w:r w:rsidRPr="00A7618E">
        <w:rPr>
          <w:rStyle w:val="Hyperlink"/>
          <w:rFonts w:ascii="Josefin Sans Light" w:hAnsi="Josefin Sans Light"/>
          <w:sz w:val="18"/>
          <w:szCs w:val="18"/>
        </w:rPr>
        <w:t>www.vitaltales.com/resources</w:t>
      </w:r>
    </w:hyperlink>
    <w:r w:rsidRPr="00A7618E">
      <w:rPr>
        <w:rFonts w:ascii="Josefin Sans Light" w:hAnsi="Josefin Sans Light"/>
        <w:sz w:val="18"/>
        <w:szCs w:val="18"/>
      </w:rPr>
      <w:t xml:space="preserve"> or email: </w:t>
    </w:r>
    <w:hyperlink r:id="rId2" w:history="1">
      <w:r w:rsidRPr="00A7618E">
        <w:rPr>
          <w:rStyle w:val="Hyperlink"/>
          <w:rFonts w:ascii="Josefin Sans Light" w:hAnsi="Josefin Sans Light"/>
          <w:sz w:val="18"/>
          <w:szCs w:val="18"/>
        </w:rPr>
        <w:t>liz@vitaltales.com</w:t>
      </w:r>
    </w:hyperlink>
    <w:r w:rsidRPr="00A7618E">
      <w:rPr>
        <w:rFonts w:ascii="Josefin Sans Light" w:hAnsi="Josefin Sans Light"/>
        <w:sz w:val="18"/>
        <w:szCs w:val="18"/>
      </w:rPr>
      <w:t xml:space="preserve"> </w:t>
    </w:r>
    <w:r>
      <w:rPr>
        <w:rFonts w:ascii="Josefin Sans Light" w:hAnsi="Josefin Sans Light"/>
        <w:sz w:val="18"/>
        <w:szCs w:val="18"/>
      </w:rPr>
      <w:tab/>
    </w:r>
    <w:r>
      <w:rPr>
        <w:rFonts w:ascii="Josefin Sans Light" w:hAnsi="Josefin Sans Light"/>
        <w:noProof/>
        <w:sz w:val="21"/>
        <w:szCs w:val="21"/>
      </w:rPr>
      <w:drawing>
        <wp:inline distT="0" distB="0" distL="0" distR="0" wp14:anchorId="33F41731" wp14:editId="362A8DD7">
          <wp:extent cx="960120" cy="532761"/>
          <wp:effectExtent l="0" t="0" r="5080" b="1270"/>
          <wp:docPr id="956230336" name="Picture 2" descr="A black background with brown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230336" name="Picture 2" descr="A black background with brown letters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532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7A063D" w14:textId="06DEA0F5" w:rsidR="0078090A" w:rsidRPr="0078090A" w:rsidRDefault="0078090A" w:rsidP="0032508A">
    <w:pPr>
      <w:pStyle w:val="Footer"/>
      <w:tabs>
        <w:tab w:val="clear" w:pos="4680"/>
        <w:tab w:val="clear" w:pos="9360"/>
        <w:tab w:val="center" w:pos="180"/>
        <w:tab w:val="right" w:pos="13050"/>
      </w:tabs>
      <w:rPr>
        <w:rFonts w:ascii="Josefin Sans Light" w:hAnsi="Josefin Sans Light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77755" w14:textId="77777777" w:rsidR="00A7618E" w:rsidRDefault="00A76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DD74F" w14:textId="77777777" w:rsidR="00985A26" w:rsidRDefault="00985A26" w:rsidP="000D4DD3">
      <w:r>
        <w:separator/>
      </w:r>
    </w:p>
  </w:footnote>
  <w:footnote w:type="continuationSeparator" w:id="0">
    <w:p w14:paraId="7AE461FA" w14:textId="77777777" w:rsidR="00985A26" w:rsidRDefault="00985A26" w:rsidP="000D4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EC00" w14:textId="77777777" w:rsidR="00A7618E" w:rsidRDefault="00A761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A8F90" w14:textId="77777777" w:rsidR="00A7618E" w:rsidRDefault="00A761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EFF0" w14:textId="77777777" w:rsidR="00A7618E" w:rsidRDefault="00A761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F0640"/>
    <w:multiLevelType w:val="multilevel"/>
    <w:tmpl w:val="07D4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620CD"/>
    <w:multiLevelType w:val="multilevel"/>
    <w:tmpl w:val="0DEE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F32EE"/>
    <w:multiLevelType w:val="multilevel"/>
    <w:tmpl w:val="2604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F76EB"/>
    <w:multiLevelType w:val="multilevel"/>
    <w:tmpl w:val="B412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481E7F"/>
    <w:multiLevelType w:val="multilevel"/>
    <w:tmpl w:val="512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004213">
    <w:abstractNumId w:val="3"/>
  </w:num>
  <w:num w:numId="2" w16cid:durableId="865754690">
    <w:abstractNumId w:val="2"/>
  </w:num>
  <w:num w:numId="3" w16cid:durableId="867908565">
    <w:abstractNumId w:val="4"/>
  </w:num>
  <w:num w:numId="4" w16cid:durableId="709378342">
    <w:abstractNumId w:val="0"/>
  </w:num>
  <w:num w:numId="5" w16cid:durableId="477452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D3"/>
    <w:rsid w:val="0001628D"/>
    <w:rsid w:val="0009026D"/>
    <w:rsid w:val="000D330D"/>
    <w:rsid w:val="000D4DD3"/>
    <w:rsid w:val="00113CAB"/>
    <w:rsid w:val="0017160B"/>
    <w:rsid w:val="00184040"/>
    <w:rsid w:val="001A2C03"/>
    <w:rsid w:val="00277B0D"/>
    <w:rsid w:val="002D5340"/>
    <w:rsid w:val="002E1D48"/>
    <w:rsid w:val="002F5892"/>
    <w:rsid w:val="0032508A"/>
    <w:rsid w:val="0037195D"/>
    <w:rsid w:val="003A2D34"/>
    <w:rsid w:val="003F70F5"/>
    <w:rsid w:val="00467D28"/>
    <w:rsid w:val="00622699"/>
    <w:rsid w:val="00683B1B"/>
    <w:rsid w:val="006B0283"/>
    <w:rsid w:val="006D3E2F"/>
    <w:rsid w:val="006D7437"/>
    <w:rsid w:val="00711047"/>
    <w:rsid w:val="007660B1"/>
    <w:rsid w:val="0078090A"/>
    <w:rsid w:val="0083701C"/>
    <w:rsid w:val="008608AD"/>
    <w:rsid w:val="00943500"/>
    <w:rsid w:val="009750A9"/>
    <w:rsid w:val="00985A26"/>
    <w:rsid w:val="009E0195"/>
    <w:rsid w:val="00A175D7"/>
    <w:rsid w:val="00A7618E"/>
    <w:rsid w:val="00AA3361"/>
    <w:rsid w:val="00AE24AA"/>
    <w:rsid w:val="00B73E93"/>
    <w:rsid w:val="00B86D63"/>
    <w:rsid w:val="00B91FC0"/>
    <w:rsid w:val="00C37908"/>
    <w:rsid w:val="00CC3E71"/>
    <w:rsid w:val="00ED552B"/>
    <w:rsid w:val="00F31AE4"/>
    <w:rsid w:val="00F55E44"/>
    <w:rsid w:val="00F60F20"/>
    <w:rsid w:val="00FD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D57562"/>
  <w15:chartTrackingRefBased/>
  <w15:docId w15:val="{B00F7116-915E-E645-9BC6-3E905887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D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D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D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D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D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D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D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D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D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D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D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4D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DD3"/>
  </w:style>
  <w:style w:type="paragraph" w:styleId="Footer">
    <w:name w:val="footer"/>
    <w:basedOn w:val="Normal"/>
    <w:link w:val="FooterChar"/>
    <w:uiPriority w:val="99"/>
    <w:unhideWhenUsed/>
    <w:rsid w:val="000D4D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DD3"/>
  </w:style>
  <w:style w:type="table" w:styleId="TableGrid">
    <w:name w:val="Table Grid"/>
    <w:basedOn w:val="TableNormal"/>
    <w:uiPriority w:val="39"/>
    <w:rsid w:val="000D4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F70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809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bri.org/publications/research-publications/issue-briefs/content/shining-a-spotlight-on-caregivers-in-the-workplace-findings-from-the-2023-workplace-wellness-survey" TargetMode="External"/><Relationship Id="rId13" Type="http://schemas.openxmlformats.org/officeDocument/2006/relationships/hyperlink" Target="https://www.ncbi.nlm.nih.gov/pmc/articles/PMC1361049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ebri.org/publications/research-publications/issue-briefs/content/trends-in-health-savings-account-balances-contributions-distributions-and-investments-2011-2021" TargetMode="External"/><Relationship Id="rId12" Type="http://schemas.openxmlformats.org/officeDocument/2006/relationships/hyperlink" Target="https://www.ncbi.nlm.nih.gov/pmc/articles/PMC6056150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rticipatorymedicine.org/manifesto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healthaffairs.org/doi/10.1377/hlthaff.2017.1104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ebri.org/publications/research-publications/issue-briefs/content/2023-ebri-financial-wellbeing-employer-survey-employers-see-financial-wellness-benefits-as-a-tool-to-improve-worker-satisfaction-and-productivity" TargetMode="External"/><Relationship Id="rId14" Type="http://schemas.openxmlformats.org/officeDocument/2006/relationships/hyperlink" Target="https://cancercontrol.cancer.gov/sites/default/files/2020-06/theory.pdf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iz@vitaltales.com" TargetMode="External"/><Relationship Id="rId1" Type="http://schemas.openxmlformats.org/officeDocument/2006/relationships/hyperlink" Target="http://www.vitaltales.com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Webler</dc:creator>
  <cp:keywords/>
  <dc:description/>
  <cp:lastModifiedBy>Liz Webler</cp:lastModifiedBy>
  <cp:revision>7</cp:revision>
  <dcterms:created xsi:type="dcterms:W3CDTF">2024-03-04T18:28:00Z</dcterms:created>
  <dcterms:modified xsi:type="dcterms:W3CDTF">2024-05-22T20:17:00Z</dcterms:modified>
</cp:coreProperties>
</file>